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type="auto" w:w="0"/>
        <w:tblLook w:firstColumn="1" w:firstRow="1" w:lastColumn="0" w:lastRow="0" w:noHBand="0" w:noVBand="1" w:val="04A0"/>
      </w:tblPr>
      <w:tblGrid>
        <w:gridCol w:w="8640"/>
      </w:tblGrid>
      <w:tr>
        <w:tc>
          <w:tcPr>
            <w:tcW w:type="dxa" w:w="8640"/>
            <w:shd w:val="clear" w:fill="FFF2CC"/>
          </w:tcPr>
          <w:p>
            <w:r>
              <w:rPr>
                <w:b/>
                <w:sz w:val="20"/>
              </w:rPr>
              <w:t>ATTORNEY REVIEW REQUIRED — This draft was generated by RE:ACTION from public USPTO records. It is an attorney work aid, not legal advice, and it has not been reviewed by an attorney. A licensed attorney must review, revise, and approve every statement in this document before filing. Verify all factual assertions, exhibit citations, and deadlines against the record.</w:t>
            </w:r>
          </w:p>
        </w:tc>
      </w:tr>
    </w:tbl>
    <w:p/>
    <w:p>
      <w:pPr>
        <w:jc w:val="center"/>
      </w:pPr>
      <w:r>
        <w:rPr>
          <w:b/>
        </w:rPr>
        <w:t>MEMORANDUM TO THE REVIEWING ATTORNEY</w:t>
      </w:r>
    </w:p>
    <w:p>
      <w:r>
        <w:t>Re: MOLTO — Serial No. 98637751 — Office Action of 2025-01-24 (NFIN20250124161851). The response that follows this memo is a draft for your review.</w:t>
      </w:r>
    </w:p>
    <w:p>
      <w:r>
        <w:t>This draft rests on the public USPTO file (TSDR) as it stood on the Office Action date. The public file may be incomplete or stale; confirm every point against the firm's own file and the client before filing.</w:t>
      </w:r>
    </w:p>
    <w:p>
      <w:pPr>
        <w:pStyle w:val="Heading2"/>
      </w:pPr>
      <w:r>
        <w:t>What the Office Action raised</w:t>
      </w:r>
    </w:p>
    <w:p>
      <w:pPr>
        <w:pStyle w:val="ListBullet"/>
      </w:pPr>
      <w:r>
        <w:rPr>
          <w:b/>
        </w:rPr>
        <w:t xml:space="preserve">Refusal: </w:t>
      </w:r>
      <w:r>
        <w:t>Response to Section 2(d) Refusal — Likelihood of Confusion — drafted below</w:t>
      </w:r>
    </w:p>
    <w:p>
      <w:pPr>
        <w:pStyle w:val="ListBullet"/>
      </w:pPr>
      <w:r>
        <w:rPr>
          <w:b/>
        </w:rPr>
        <w:t xml:space="preserve">Advisory: </w:t>
      </w:r>
      <w:r>
        <w:t>Translation Statement Unnecessary — no response required</w:t>
      </w:r>
    </w:p>
    <w:p>
      <w:pPr>
        <w:pStyle w:val="ListBullet"/>
      </w:pPr>
      <w:r>
        <w:t>Also in the action's summary of issues (no response required): Advisory regarding Hiring a Trademark Attorney</w:t>
      </w:r>
    </w:p>
    <w:p>
      <w:pPr>
        <w:pStyle w:val="Heading2"/>
      </w:pPr>
      <w:r>
        <w:t>What is drafted below</w:t>
      </w:r>
    </w:p>
    <w:p>
      <w:pPr>
        <w:pStyle w:val="ListBullet"/>
      </w:pPr>
      <w:r>
        <w:t>Response to Section 2(d) Refusal — Likelihood of Confusion</w:t>
      </w:r>
    </w:p>
    <w:p>
      <w:r>
        <w:t>Response to Section 2(d) Refusal — Likelihood of Confusion — The response argues the refusal and, in the alternative, amends the identification to distance the goods from the registrant's — the amendment is listed under Decisions to approve: approve it, revise the retained entries, or strike the alternative. Note that an amendment offered in the alternative may not be entered as a conditional amendment — the examining attorney may require an election — so decide before filing whether to enter it unconditionally or strike it. Goods deleted by amendment cannot be reinserted (37 C.F.R. §2.71(a); TMEP §1402.07(e)): confirm the retained list with the client. A consent agreement with the registrant is the other path (not drafted). The register search found no third-party registration to support a crowded-field argument, which makes the amendment path the stronger course on this record.</w:t>
      </w:r>
    </w:p>
    <w:p>
      <w:pPr>
        <w:pStyle w:val="Heading2"/>
      </w:pPr>
      <w:r>
        <w:t>What is outlined only, and why</w:t>
      </w:r>
    </w:p>
    <w:p>
      <w:r>
        <w:rPr>
          <w:b/>
        </w:rPr>
        <w:t xml:space="preserve">Translation Statement Unnecessary. </w:t>
      </w:r>
      <w:r>
        <w:t>An advisory: no response is required, so nothing is drafted for it.</w:t>
      </w:r>
    </w:p>
    <w:p>
      <w:pPr>
        <w:pStyle w:val="ListBullet"/>
      </w:pPr>
      <w:r>
        <w:rPr>
          <w:i/>
        </w:rPr>
        <w:t xml:space="preserve">Passage from the action: </w:t>
      </w:r>
      <w:r>
        <w:t>"Applicant’s English translation of"</w:t>
      </w:r>
    </w:p>
    <w:p>
      <w:pPr>
        <w:pStyle w:val="Heading2"/>
      </w:pPr>
      <w:r>
        <w:t>Authorities to review</w:t>
      </w:r>
    </w:p>
    <w:p>
      <w:r>
        <w:t>Every authority the response cites. Open each linked source and confirm the draft uses the citation accurately. Where no source was found, verify the citation yourself before filing. Finding a source means the tool located it, not that it confirmed the argument. Tick each row once you have read it.</w:t>
      </w:r>
    </w:p>
    <w:tbl>
      <w:tblPr>
        <w:tblStyle w:val="TableGrid"/>
        <w:tblW w:type="auto" w:w="0"/>
        <w:tblLook w:firstColumn="1" w:firstRow="1" w:lastColumn="0" w:lastRow="0" w:noHBand="0" w:noVBand="1" w:val="04A0"/>
      </w:tblPr>
      <w:tblGrid>
        <w:gridCol w:w="2880"/>
        <w:gridCol w:w="2880"/>
        <w:gridCol w:w="2880"/>
      </w:tblGrid>
      <w:tr>
        <w:tc>
          <w:tcPr>
            <w:tcW w:type="dxa" w:w="4896"/>
            <w:shd w:val="clear" w:fill="EDEDED"/>
          </w:tcPr>
          <w:p>
            <w:r>
              <w:rPr>
                <w:b/>
              </w:rPr>
              <w:t>Citation</w:t>
            </w:r>
          </w:p>
        </w:tc>
        <w:tc>
          <w:tcPr>
            <w:tcW w:type="dxa" w:w="3456"/>
            <w:shd w:val="clear" w:fill="EDEDED"/>
          </w:tcPr>
          <w:p>
            <w:r>
              <w:rPr>
                <w:b/>
              </w:rPr>
              <w:t>Source</w:t>
            </w:r>
          </w:p>
        </w:tc>
        <w:tc>
          <w:tcPr>
            <w:tcW w:type="dxa" w:w="720"/>
            <w:shd w:val="clear" w:fill="EDEDED"/>
          </w:tcPr>
          <w:p>
            <w:r>
              <w:rPr>
                <w:b/>
              </w:rPr>
              <w:t>Reviewed</w:t>
            </w:r>
          </w:p>
        </w:tc>
      </w:tr>
      <w:tr>
        <w:tc>
          <w:tcPr>
            <w:tcW w:type="dxa" w:w="4896"/>
          </w:tcPr>
          <w:p>
            <w:r>
              <w:t>TMEP §1207.01(b)</w:t>
            </w:r>
          </w:p>
        </w:tc>
        <w:tc>
          <w:tcPr>
            <w:tcW w:type="dxa" w:w="3456"/>
          </w:tcPr>
          <w:p>
            <w:r>
              <w:t>Source found</w:t>
            </w:r>
            <w:r>
              <w:t xml:space="preserve"> </w:t>
            </w:r>
            <w:hyperlink r:id="rId9">
              <w:r>
                <w:rPr>
                  <w:color w:val="0563C1"/>
                  <w:u w:val="single"/>
                </w:rPr>
                <w:t xml:space="preserve">TMEP</w:t>
              </w:r>
            </w:hyperlink>
          </w:p>
        </w:tc>
        <w:tc>
          <w:tcPr>
            <w:tcW w:type="dxa" w:w="720"/>
          </w:tcPr>
          <w:p>
            <w:sdt>
              <w:sdtPr>
                <w:id w:val="100001"/>
                <w14:checkbox>
                  <w14:checked w14:val="0"/>
                  <w14:checkedState w14:val="2612" w14:font="MS Gothic"/>
                  <w14:uncheckedState w14:val="2610" w14:font="MS Gothic"/>
                </w14:checkbox>
              </w:sdtPr>
              <w:sdtContent>
                <w:r>
                  <w:rPr>
                    <w:rFonts w:ascii="MS Gothic" w:hAnsi="MS Gothic" w:eastAsia="MS Gothic" w:cs="MS Gothic"/>
                  </w:rPr>
                  <w:t>☐</w:t>
                </w:r>
              </w:sdtContent>
            </w:sdt>
          </w:p>
        </w:tc>
      </w:tr>
      <w:tr>
        <w:tc>
          <w:tcPr>
            <w:tcW w:type="dxa" w:w="4896"/>
          </w:tcPr>
          <w:p>
            <w:r>
              <w:t>15 U.S.C. §1052(d)</w:t>
            </w:r>
          </w:p>
        </w:tc>
        <w:tc>
          <w:tcPr>
            <w:tcW w:type="dxa" w:w="3456"/>
          </w:tcPr>
          <w:p>
            <w:r>
              <w:t>Source found</w:t>
            </w:r>
            <w:r>
              <w:t xml:space="preserve"> </w:t>
            </w:r>
            <w:hyperlink r:id="rId10">
              <w:r>
                <w:rPr>
                  <w:color w:val="0563C1"/>
                  <w:u w:val="single"/>
                </w:rPr>
                <w:t xml:space="preserve">uscode.house.gov</w:t>
              </w:r>
            </w:hyperlink>
          </w:p>
        </w:tc>
        <w:tc>
          <w:tcPr>
            <w:tcW w:type="dxa" w:w="720"/>
          </w:tcPr>
          <w:p>
            <w:sdt>
              <w:sdtPr>
                <w:id w:val="100002"/>
                <w14:checkbox>
                  <w14:checked w14:val="0"/>
                  <w14:checkedState w14:val="2612" w14:font="MS Gothic"/>
                  <w14:uncheckedState w14:val="2610" w14:font="MS Gothic"/>
                </w14:checkbox>
              </w:sdtPr>
              <w:sdtContent>
                <w:r>
                  <w:rPr>
                    <w:rFonts w:ascii="MS Gothic" w:hAnsi="MS Gothic" w:eastAsia="MS Gothic" w:cs="MS Gothic"/>
                  </w:rPr>
                  <w:t>☐</w:t>
                </w:r>
              </w:sdtContent>
            </w:sdt>
          </w:p>
        </w:tc>
      </w:tr>
      <w:tr>
        <w:tc>
          <w:tcPr>
            <w:tcW w:type="dxa" w:w="4896"/>
          </w:tcPr>
          <w:p>
            <w:r>
              <w:t>In re Charger Ventures LLC, 64 F.4th 1375, 2023 USPQ2d 451</w:t>
            </w:r>
          </w:p>
        </w:tc>
        <w:tc>
          <w:tcPr>
            <w:tcW w:type="dxa" w:w="3456"/>
          </w:tcPr>
          <w:p>
            <w:r>
              <w:t>Source not found. Verify citation.</w:t>
            </w:r>
          </w:p>
        </w:tc>
        <w:tc>
          <w:tcPr>
            <w:tcW w:type="dxa" w:w="720"/>
          </w:tcPr>
          <w:p>
            <w:sdt>
              <w:sdtPr>
                <w:id w:val="100003"/>
                <w14:checkbox>
                  <w14:checked w14:val="0"/>
                  <w14:checkedState w14:val="2612" w14:font="MS Gothic"/>
                  <w14:uncheckedState w14:val="2610" w14:font="MS Gothic"/>
                </w14:checkbox>
              </w:sdtPr>
              <w:sdtContent>
                <w:r>
                  <w:rPr>
                    <w:rFonts w:ascii="MS Gothic" w:hAnsi="MS Gothic" w:eastAsia="MS Gothic" w:cs="MS Gothic"/>
                  </w:rPr>
                  <w:t>☐</w:t>
                </w:r>
              </w:sdtContent>
            </w:sdt>
          </w:p>
        </w:tc>
      </w:tr>
      <w:tr>
        <w:tc>
          <w:tcPr>
            <w:tcW w:type="dxa" w:w="4896"/>
          </w:tcPr>
          <w:p>
            <w:r>
              <w:t>Federated Foods, Inc. v. Fort Howard Paper Co., 544 F.2d 1098, 192 USPQ 24 (C.C.P.A. 1976)</w:t>
            </w:r>
          </w:p>
        </w:tc>
        <w:tc>
          <w:tcPr>
            <w:tcW w:type="dxa" w:w="3456"/>
          </w:tcPr>
          <w:p>
            <w:r>
              <w:t>Source found</w:t>
            </w:r>
            <w:r>
              <w:t xml:space="preserve"> </w:t>
            </w:r>
            <w:hyperlink r:id="rId11">
              <w:r>
                <w:rPr>
                  <w:color w:val="0563C1"/>
                  <w:u w:val="single"/>
                </w:rPr>
                <w:t xml:space="preserve">CourtListener</w:t>
              </w:r>
            </w:hyperlink>
          </w:p>
        </w:tc>
        <w:tc>
          <w:tcPr>
            <w:tcW w:type="dxa" w:w="720"/>
          </w:tcPr>
          <w:p>
            <w:sdt>
              <w:sdtPr>
                <w:id w:val="100004"/>
                <w14:checkbox>
                  <w14:checked w14:val="0"/>
                  <w14:checkedState w14:val="2612" w14:font="MS Gothic"/>
                  <w14:uncheckedState w14:val="2610" w14:font="MS Gothic"/>
                </w14:checkbox>
              </w:sdtPr>
              <w:sdtContent>
                <w:r>
                  <w:rPr>
                    <w:rFonts w:ascii="MS Gothic" w:hAnsi="MS Gothic" w:eastAsia="MS Gothic" w:cs="MS Gothic"/>
                  </w:rPr>
                  <w:t>☐</w:t>
                </w:r>
              </w:sdtContent>
            </w:sdt>
          </w:p>
        </w:tc>
      </w:tr>
      <w:tr>
        <w:tc>
          <w:tcPr>
            <w:tcW w:type="dxa" w:w="4896"/>
          </w:tcPr>
          <w:p>
            <w:r>
              <w:t>In re Guild Mortg. Co., 912 F.3d 1376, 129 USPQ2d 1160 (Fed. Cir. 2019)</w:t>
            </w:r>
          </w:p>
        </w:tc>
        <w:tc>
          <w:tcPr>
            <w:tcW w:type="dxa" w:w="3456"/>
          </w:tcPr>
          <w:p>
            <w:r>
              <w:t>Source not found. Verify citation.</w:t>
            </w:r>
          </w:p>
        </w:tc>
        <w:tc>
          <w:tcPr>
            <w:tcW w:type="dxa" w:w="720"/>
          </w:tcPr>
          <w:p>
            <w:sdt>
              <w:sdtPr>
                <w:id w:val="100005"/>
                <w14:checkbox>
                  <w14:checked w14:val="0"/>
                  <w14:checkedState w14:val="2612" w14:font="MS Gothic"/>
                  <w14:uncheckedState w14:val="2610" w14:font="MS Gothic"/>
                </w14:checkbox>
              </w:sdtPr>
              <w:sdtContent>
                <w:r>
                  <w:rPr>
                    <w:rFonts w:ascii="MS Gothic" w:hAnsi="MS Gothic" w:eastAsia="MS Gothic" w:cs="MS Gothic"/>
                  </w:rPr>
                  <w:t>☐</w:t>
                </w:r>
              </w:sdtContent>
            </w:sdt>
          </w:p>
        </w:tc>
      </w:tr>
      <w:tr>
        <w:tc>
          <w:tcPr>
            <w:tcW w:type="dxa" w:w="4896"/>
          </w:tcPr>
          <w:p>
            <w:r>
              <w:t>Palm Bay Imps., Inc. v. Veuve Clicquot Ponsardin Maison Fondee En 1772, 396 F.3d 1369, 73 USPQ2d 1689 (Fed. Cir. 2005)</w:t>
            </w:r>
          </w:p>
        </w:tc>
        <w:tc>
          <w:tcPr>
            <w:tcW w:type="dxa" w:w="3456"/>
          </w:tcPr>
          <w:p>
            <w:r>
              <w:t>Source found</w:t>
            </w:r>
            <w:r>
              <w:t xml:space="preserve"> </w:t>
            </w:r>
            <w:hyperlink r:id="rId12">
              <w:r>
                <w:rPr>
                  <w:color w:val="0563C1"/>
                  <w:u w:val="single"/>
                </w:rPr>
                <w:t xml:space="preserve">CourtListener</w:t>
              </w:r>
            </w:hyperlink>
          </w:p>
        </w:tc>
        <w:tc>
          <w:tcPr>
            <w:tcW w:type="dxa" w:w="720"/>
          </w:tcPr>
          <w:p>
            <w:sdt>
              <w:sdtPr>
                <w:id w:val="100006"/>
                <w14:checkbox>
                  <w14:checked w14:val="0"/>
                  <w14:checkedState w14:val="2612" w14:font="MS Gothic"/>
                  <w14:uncheckedState w14:val="2610" w14:font="MS Gothic"/>
                </w14:checkbox>
              </w:sdtPr>
              <w:sdtContent>
                <w:r>
                  <w:rPr>
                    <w:rFonts w:ascii="MS Gothic" w:hAnsi="MS Gothic" w:eastAsia="MS Gothic" w:cs="MS Gothic"/>
                  </w:rPr>
                  <w:t>☐</w:t>
                </w:r>
              </w:sdtContent>
            </w:sdt>
          </w:p>
        </w:tc>
      </w:tr>
      <w:tr>
        <w:tc>
          <w:tcPr>
            <w:tcW w:type="dxa" w:w="4896"/>
          </w:tcPr>
          <w:p>
            <w:r>
              <w:t>In re Mighty Leaf Tea, 601 F.3d 1342, 94 USPQ2d 1257 (Fed. Cir. 2010)</w:t>
            </w:r>
          </w:p>
        </w:tc>
        <w:tc>
          <w:tcPr>
            <w:tcW w:type="dxa" w:w="3456"/>
          </w:tcPr>
          <w:p>
            <w:r>
              <w:t>Source found</w:t>
            </w:r>
            <w:r>
              <w:t xml:space="preserve"> </w:t>
            </w:r>
            <w:hyperlink r:id="rId13">
              <w:r>
                <w:rPr>
                  <w:color w:val="0563C1"/>
                  <w:u w:val="single"/>
                </w:rPr>
                <w:t xml:space="preserve">CourtListener</w:t>
              </w:r>
            </w:hyperlink>
          </w:p>
        </w:tc>
        <w:tc>
          <w:tcPr>
            <w:tcW w:type="dxa" w:w="720"/>
          </w:tcPr>
          <w:p>
            <w:sdt>
              <w:sdtPr>
                <w:id w:val="100007"/>
                <w14:checkbox>
                  <w14:checked w14:val="0"/>
                  <w14:checkedState w14:val="2612" w14:font="MS Gothic"/>
                  <w14:uncheckedState w14:val="2610" w14:font="MS Gothic"/>
                </w14:checkbox>
              </w:sdtPr>
              <w:sdtContent>
                <w:r>
                  <w:rPr>
                    <w:rFonts w:ascii="MS Gothic" w:hAnsi="MS Gothic" w:eastAsia="MS Gothic" w:cs="MS Gothic"/>
                  </w:rPr>
                  <w:t>☐</w:t>
                </w:r>
              </w:sdtContent>
            </w:sdt>
          </w:p>
        </w:tc>
      </w:tr>
      <w:tr>
        <w:tc>
          <w:tcPr>
            <w:tcW w:type="dxa" w:w="4896"/>
          </w:tcPr>
          <w:p>
            <w:r>
              <w:t>In re Optica Int’l, 196 USPQ 775 (TTAB 1977)</w:t>
            </w:r>
          </w:p>
        </w:tc>
        <w:tc>
          <w:tcPr>
            <w:tcW w:type="dxa" w:w="3456"/>
          </w:tcPr>
          <w:p>
            <w:r>
              <w:t>Not checked. Verify citation.</w:t>
            </w:r>
          </w:p>
        </w:tc>
        <w:tc>
          <w:tcPr>
            <w:tcW w:type="dxa" w:w="720"/>
          </w:tcPr>
          <w:p>
            <w:sdt>
              <w:sdtPr>
                <w:id w:val="100008"/>
                <w14:checkbox>
                  <w14:checked w14:val="0"/>
                  <w14:checkedState w14:val="2612" w14:font="MS Gothic"/>
                  <w14:uncheckedState w14:val="2610" w14:font="MS Gothic"/>
                </w14:checkbox>
              </w:sdtPr>
              <w:sdtContent>
                <w:r>
                  <w:rPr>
                    <w:rFonts w:ascii="MS Gothic" w:hAnsi="MS Gothic" w:eastAsia="MS Gothic" w:cs="MS Gothic"/>
                  </w:rPr>
                  <w:t>☐</w:t>
                </w:r>
              </w:sdtContent>
            </w:sdt>
          </w:p>
        </w:tc>
      </w:tr>
      <w:tr>
        <w:tc>
          <w:tcPr>
            <w:tcW w:type="dxa" w:w="4896"/>
          </w:tcPr>
          <w:p>
            <w:r>
              <w:t>In re I-Coat Co., 126 USPQ2d 1730 (TTAB 2018)</w:t>
            </w:r>
          </w:p>
        </w:tc>
        <w:tc>
          <w:tcPr>
            <w:tcW w:type="dxa" w:w="3456"/>
          </w:tcPr>
          <w:p>
            <w:r>
              <w:t>Not checked. Verify citation.</w:t>
            </w:r>
          </w:p>
        </w:tc>
        <w:tc>
          <w:tcPr>
            <w:tcW w:type="dxa" w:w="720"/>
          </w:tcPr>
          <w:p>
            <w:sdt>
              <w:sdtPr>
                <w:id w:val="100009"/>
                <w14:checkbox>
                  <w14:checked w14:val="0"/>
                  <w14:checkedState w14:val="2612" w14:font="MS Gothic"/>
                  <w14:uncheckedState w14:val="2610" w14:font="MS Gothic"/>
                </w14:checkbox>
              </w:sdtPr>
              <w:sdtContent>
                <w:r>
                  <w:rPr>
                    <w:rFonts w:ascii="MS Gothic" w:hAnsi="MS Gothic" w:eastAsia="MS Gothic" w:cs="MS Gothic"/>
                  </w:rPr>
                  <w:t>☐</w:t>
                </w:r>
              </w:sdtContent>
            </w:sdt>
          </w:p>
        </w:tc>
      </w:tr>
    </w:tbl>
    <w:p>
      <w:pPr>
        <w:pStyle w:val="Heading2"/>
      </w:pPr>
      <w:r>
        <w:t>Statements to confirm</w:t>
      </w:r>
    </w:p>
    <w:p>
      <w:r>
        <w:t>Every statement the response makes about the applicant, the examiner or the record, with the document and exact quote it rests on. Compare each statement against its quote. A bracketed statement rests on nothing in the public file: confirm it with the client and remove the brackets, or strike it.</w:t>
      </w:r>
    </w:p>
    <w:tbl>
      <w:tblPr>
        <w:tblStyle w:val="TableGrid"/>
        <w:tblW w:type="auto" w:w="0"/>
        <w:tblLook w:firstColumn="1" w:firstRow="1" w:lastColumn="0" w:lastRow="0" w:noHBand="0" w:noVBand="1" w:val="04A0"/>
      </w:tblPr>
      <w:tblGrid>
        <w:gridCol w:w="2160"/>
        <w:gridCol w:w="2160"/>
        <w:gridCol w:w="2160"/>
        <w:gridCol w:w="2160"/>
      </w:tblGrid>
      <w:tr>
        <w:tc>
          <w:tcPr>
            <w:tcW w:type="dxa" w:w="3456"/>
            <w:shd w:val="clear" w:fill="EDEDED"/>
          </w:tcPr>
          <w:p>
            <w:r>
              <w:rPr>
                <w:b/>
              </w:rPr>
              <w:t>Statement in the response</w:t>
            </w:r>
          </w:p>
        </w:tc>
        <w:tc>
          <w:tcPr>
            <w:tcW w:type="dxa" w:w="1872"/>
            <w:shd w:val="clear" w:fill="EDEDED"/>
          </w:tcPr>
          <w:p>
            <w:r>
              <w:rPr>
                <w:b/>
              </w:rPr>
              <w:t>Source document</w:t>
            </w:r>
          </w:p>
        </w:tc>
        <w:tc>
          <w:tcPr>
            <w:tcW w:type="dxa" w:w="3024"/>
            <w:shd w:val="clear" w:fill="EDEDED"/>
          </w:tcPr>
          <w:p>
            <w:r>
              <w:rPr>
                <w:b/>
              </w:rPr>
              <w:t>Exact quote</w:t>
            </w:r>
          </w:p>
        </w:tc>
        <w:tc>
          <w:tcPr>
            <w:tcW w:type="dxa" w:w="720"/>
            <w:shd w:val="clear" w:fill="EDEDED"/>
          </w:tcPr>
          <w:p>
            <w:r>
              <w:rPr>
                <w:b/>
              </w:rPr>
              <w:t>Confirmed</w:t>
            </w:r>
          </w:p>
        </w:tc>
      </w:tr>
      <w:tr>
        <w:tc>
          <w:tcPr>
            <w:tcW w:type="dxa" w:w="3456"/>
          </w:tcPr>
          <w:p>
            <w:r>
              <w:t>The January 24, 2025 Office Action refuses registration of MOLTO in International Class 032 under Trademark Act Section 2(d), 15 U.S.C. §1052(d).</w:t>
            </w:r>
          </w:p>
        </w:tc>
        <w:tc>
          <w:tcPr>
            <w:tcW w:type="dxa" w:w="1872"/>
          </w:tcPr>
          <w:p>
            <w:r>
              <w:t>Office Action p. 2</w:t>
            </w:r>
          </w:p>
          <w:p>
            <w:r>
              <w:t>Office Action p. 2</w:t>
            </w:r>
          </w:p>
          <w:p>
            <w:r>
              <w:t>Office Action p. 3</w:t>
            </w:r>
          </w:p>
          <w:p>
            <w:r>
              <w:t>Office Action p. 3</w:t>
            </w:r>
          </w:p>
        </w:tc>
        <w:tc>
          <w:tcPr>
            <w:tcW w:type="dxa" w:w="3024"/>
          </w:tcPr>
          <w:p>
            <w:r>
              <w:t>“Issue date: January 24, 2025”</w:t>
            </w:r>
          </w:p>
          <w:p>
            <w:r>
              <w:t>“Registration of the applied-for mark is refused because of a likelihood of confusion with the mark in U.S. Registration No. 6070597.”</w:t>
            </w:r>
          </w:p>
          <w:p>
            <w:r>
              <w:t>“Applicant has applied to register the mark MOLTO in standard characters”</w:t>
            </w:r>
          </w:p>
          <w:p>
            <w:r>
              <w:t>“in International Class 032.”</w:t>
            </w:r>
          </w:p>
        </w:tc>
        <w:tc>
          <w:tcPr>
            <w:tcW w:type="dxa" w:w="720"/>
          </w:tcPr>
          <w:p>
            <w:sdt>
              <w:sdtPr>
                <w:id w:val="100010"/>
                <w14:checkbox>
                  <w14:checked w14:val="0"/>
                  <w14:checkedState w14:val="2612" w14:font="MS Gothic"/>
                  <w14:uncheckedState w14:val="2610" w14:font="MS Gothic"/>
                </w14:checkbox>
              </w:sdtPr>
              <w:sdtContent>
                <w:r>
                  <w:rPr>
                    <w:rFonts w:ascii="MS Gothic" w:hAnsi="MS Gothic" w:eastAsia="MS Gothic" w:cs="MS Gothic"/>
                  </w:rPr>
                  <w:t>☐</w:t>
                </w:r>
              </w:sdtContent>
            </w:sdt>
          </w:p>
        </w:tc>
      </w:tr>
      <w:tr>
        <w:tc>
          <w:tcPr>
            <w:tcW w:type="dxa" w:w="3456"/>
          </w:tcPr>
          <w:p>
            <w:r>
              <w:t>The cited mark is MOLTO BENE (Reg. No. 6070597) for wines in International Class 033.</w:t>
            </w:r>
          </w:p>
        </w:tc>
        <w:tc>
          <w:tcPr>
            <w:tcW w:type="dxa" w:w="1872"/>
          </w:tcPr>
          <w:p>
            <w:r>
              <w:t>Office Action p. 3</w:t>
            </w:r>
          </w:p>
          <w:p>
            <w:r>
              <w:t>Office Action p. 7</w:t>
            </w:r>
          </w:p>
        </w:tc>
        <w:tc>
          <w:tcPr>
            <w:tcW w:type="dxa" w:w="3024"/>
          </w:tcPr>
          <w:p>
            <w:r>
              <w:t>“Registrant’s mark is MOLTO BENE in standard characters for “Wines” in International Class 033.”</w:t>
            </w:r>
          </w:p>
          <w:p>
            <w:r>
              <w:t>“Registration Number 6070597”</w:t>
            </w:r>
          </w:p>
        </w:tc>
        <w:tc>
          <w:tcPr>
            <w:tcW w:type="dxa" w:w="720"/>
          </w:tcPr>
          <w:p>
            <w:sdt>
              <w:sdtPr>
                <w:id w:val="100011"/>
                <w14:checkbox>
                  <w14:checked w14:val="0"/>
                  <w14:checkedState w14:val="2612" w14:font="MS Gothic"/>
                  <w14:uncheckedState w14:val="2610" w14:font="MS Gothic"/>
                </w14:checkbox>
              </w:sdtPr>
              <w:sdtContent>
                <w:r>
                  <w:rPr>
                    <w:rFonts w:ascii="MS Gothic" w:hAnsi="MS Gothic" w:eastAsia="MS Gothic" w:cs="MS Gothic"/>
                  </w:rPr>
                  <w:t>☐</w:t>
                </w:r>
              </w:sdtContent>
            </w:sdt>
          </w:p>
        </w:tc>
      </w:tr>
      <w:tr>
        <w:tc>
          <w:tcPr>
            <w:tcW w:type="dxa" w:w="3456"/>
          </w:tcPr>
          <w:p>
            <w:r>
              <w:t>The application states that the English translation of MOLTO is “very.”</w:t>
            </w:r>
          </w:p>
        </w:tc>
        <w:tc>
          <w:tcPr>
            <w:tcW w:type="dxa" w:w="1872"/>
          </w:tcPr>
          <w:p>
            <w:r>
              <w:t>Application record (as of the action date)</w:t>
            </w:r>
          </w:p>
        </w:tc>
        <w:tc>
          <w:tcPr>
            <w:tcW w:type="dxa" w:w="3024"/>
          </w:tcPr>
          <w:p>
            <w:r>
              <w:t>“Translation: The English translation of molto in the mark is very.”</w:t>
            </w:r>
          </w:p>
        </w:tc>
        <w:tc>
          <w:tcPr>
            <w:tcW w:type="dxa" w:w="720"/>
          </w:tcPr>
          <w:p>
            <w:sdt>
              <w:sdtPr>
                <w:id w:val="100012"/>
                <w14:checkbox>
                  <w14:checked w14:val="0"/>
                  <w14:checkedState w14:val="2612" w14:font="MS Gothic"/>
                  <w14:uncheckedState w14:val="2610" w14:font="MS Gothic"/>
                </w14:checkbox>
              </w:sdtPr>
              <w:sdtContent>
                <w:r>
                  <w:rPr>
                    <w:rFonts w:ascii="MS Gothic" w:hAnsi="MS Gothic" w:eastAsia="MS Gothic" w:cs="MS Gothic"/>
                  </w:rPr>
                  <w:t>☐</w:t>
                </w:r>
              </w:sdtContent>
            </w:sdt>
          </w:p>
        </w:tc>
      </w:tr>
      <w:tr>
        <w:tc>
          <w:tcPr>
            <w:tcW w:type="dxa" w:w="3456"/>
          </w:tcPr>
          <w:p>
            <w:r>
              <w:t>The cited registration states that the English translation of MOLTO BENE is “VERY WELL.”</w:t>
            </w:r>
          </w:p>
        </w:tc>
        <w:tc>
          <w:tcPr>
            <w:tcW w:type="dxa" w:w="1872"/>
          </w:tcPr>
          <w:p>
            <w:r>
              <w:t>Office Action p. 7</w:t>
            </w:r>
          </w:p>
        </w:tc>
        <w:tc>
          <w:tcPr>
            <w:tcW w:type="dxa" w:w="3024"/>
          </w:tcPr>
          <w:p>
            <w:r>
              <w:t>“Translation The English translation of "MOLTO BENE" in the mark is "VERY WELL".”</w:t>
            </w:r>
          </w:p>
        </w:tc>
        <w:tc>
          <w:tcPr>
            <w:tcW w:type="dxa" w:w="720"/>
          </w:tcPr>
          <w:p>
            <w:sdt>
              <w:sdtPr>
                <w:id w:val="100013"/>
                <w14:checkbox>
                  <w14:checked w14:val="0"/>
                  <w14:checkedState w14:val="2612" w14:font="MS Gothic"/>
                  <w14:uncheckedState w14:val="2610" w14:font="MS Gothic"/>
                </w14:checkbox>
              </w:sdtPr>
              <w:sdtContent>
                <w:r>
                  <w:rPr>
                    <w:rFonts w:ascii="MS Gothic" w:hAnsi="MS Gothic" w:eastAsia="MS Gothic" w:cs="MS Gothic"/>
                  </w:rPr>
                  <w:t>☐</w:t>
                </w:r>
              </w:sdtContent>
            </w:sdt>
          </w:p>
        </w:tc>
      </w:tr>
      <w:tr>
        <w:tc>
          <w:tcPr>
            <w:tcW w:type="dxa" w:w="3456"/>
          </w:tcPr>
          <w:p>
            <w:r>
              <w:t>The Office Action states that the MOLTO translation is unnecessary because the term appears in an English dictionary.</w:t>
            </w:r>
          </w:p>
        </w:tc>
        <w:tc>
          <w:tcPr>
            <w:tcW w:type="dxa" w:w="1872"/>
          </w:tcPr>
          <w:p>
            <w:r>
              <w:t>Office Action p. 5</w:t>
            </w:r>
          </w:p>
        </w:tc>
        <w:tc>
          <w:tcPr>
            <w:tcW w:type="dxa" w:w="3024"/>
          </w:tcPr>
          <w:p>
            <w:r>
              <w:t>“Applicant’s English translation of "MOLTO" in the application is unnecessary because this term appears in an English dictionary.”</w:t>
            </w:r>
          </w:p>
        </w:tc>
        <w:tc>
          <w:tcPr>
            <w:tcW w:type="dxa" w:w="720"/>
          </w:tcPr>
          <w:p>
            <w:sdt>
              <w:sdtPr>
                <w:id w:val="100014"/>
                <w14:checkbox>
                  <w14:checked w14:val="0"/>
                  <w14:checkedState w14:val="2612" w14:font="MS Gothic"/>
                  <w14:uncheckedState w14:val="2610" w14:font="MS Gothic"/>
                </w14:checkbox>
              </w:sdtPr>
              <w:sdtContent>
                <w:r>
                  <w:rPr>
                    <w:rFonts w:ascii="MS Gothic" w:hAnsi="MS Gothic" w:eastAsia="MS Gothic" w:cs="MS Gothic"/>
                  </w:rPr>
                  <w:t>☐</w:t>
                </w:r>
              </w:sdtContent>
            </w:sdt>
          </w:p>
        </w:tc>
      </w:tr>
      <w:tr>
        <w:tc>
          <w:tcPr>
            <w:tcW w:type="dxa" w:w="3456"/>
          </w:tcPr>
          <w:p>
            <w:r>
              <w:t>The Office Action reasons that consumers will focus on MOLTO because it is the first word of the cited mark and is identical to the applied-for mark.</w:t>
            </w:r>
          </w:p>
        </w:tc>
        <w:tc>
          <w:tcPr>
            <w:tcW w:type="dxa" w:w="1872"/>
          </w:tcPr>
          <w:p>
            <w:r>
              <w:t>Office Action p. 4</w:t>
            </w:r>
          </w:p>
        </w:tc>
        <w:tc>
          <w:tcPr>
            <w:tcW w:type="dxa" w:w="3024"/>
          </w:tcPr>
          <w:p>
            <w:r>
              <w:t>“The first word in the registered mark is "MOLTO," which is identical to the applied-for mark. Consumers are more likely to focus on this term and assume a connection between applicant and registrant.”</w:t>
            </w:r>
          </w:p>
        </w:tc>
        <w:tc>
          <w:tcPr>
            <w:tcW w:type="dxa" w:w="720"/>
          </w:tcPr>
          <w:p>
            <w:sdt>
              <w:sdtPr>
                <w:id w:val="100015"/>
                <w14:checkbox>
                  <w14:checked w14:val="0"/>
                  <w14:checkedState w14:val="2612" w14:font="MS Gothic"/>
                  <w14:uncheckedState w14:val="2610" w14:font="MS Gothic"/>
                </w14:checkbox>
              </w:sdtPr>
              <w:sdtContent>
                <w:r>
                  <w:rPr>
                    <w:rFonts w:ascii="MS Gothic" w:hAnsi="MS Gothic" w:eastAsia="MS Gothic" w:cs="MS Gothic"/>
                  </w:rPr>
                  <w:t>☐</w:t>
                </w:r>
              </w:sdtContent>
            </w:sdt>
          </w:p>
        </w:tc>
      </w:tr>
      <w:tr>
        <w:tc>
          <w:tcPr>
            <w:tcW w:type="dxa" w:w="3456"/>
          </w:tcPr>
          <w:p>
            <w:r>
              <w:t>The Office Action characterizes MOLTO as a likely shortened form of MOLTO BENE.</w:t>
            </w:r>
          </w:p>
        </w:tc>
        <w:tc>
          <w:tcPr>
            <w:tcW w:type="dxa" w:w="1872"/>
          </w:tcPr>
          <w:p>
            <w:r>
              <w:t>Office Action p. 3</w:t>
            </w:r>
          </w:p>
        </w:tc>
        <w:tc>
          <w:tcPr>
            <w:tcW w:type="dxa" w:w="3024"/>
          </w:tcPr>
          <w:p>
            <w:r>
              <w:t>“applicant’s mark is likely to appear to prospective purchasers as a shortened form of registrant’s mark.”</w:t>
            </w:r>
          </w:p>
        </w:tc>
        <w:tc>
          <w:tcPr>
            <w:tcW w:type="dxa" w:w="720"/>
          </w:tcPr>
          <w:p>
            <w:sdt>
              <w:sdtPr>
                <w:id w:val="100016"/>
                <w14:checkbox>
                  <w14:checked w14:val="0"/>
                  <w14:checkedState w14:val="2612" w14:font="MS Gothic"/>
                  <w14:uncheckedState w14:val="2610" w14:font="MS Gothic"/>
                </w14:checkbox>
              </w:sdtPr>
              <w:sdtContent>
                <w:r>
                  <w:rPr>
                    <w:rFonts w:ascii="MS Gothic" w:hAnsi="MS Gothic" w:eastAsia="MS Gothic" w:cs="MS Gothic"/>
                  </w:rPr>
                  <w:t>☐</w:t>
                </w:r>
              </w:sdtContent>
            </w:sdt>
          </w:p>
        </w:tc>
      </w:tr>
      <w:tr>
        <w:tc>
          <w:tcPr>
            <w:tcW w:type="dxa" w:w="3456"/>
          </w:tcPr>
          <w:p>
            <w:r>
              <w:t>The Office Action relies on third-party registrations covering beer and wine to show that those goods may emanate from a single source under a single mark.</w:t>
            </w:r>
          </w:p>
        </w:tc>
        <w:tc>
          <w:tcPr>
            <w:tcW w:type="dxa" w:w="1872"/>
          </w:tcPr>
          <w:p>
            <w:r>
              <w:t>Office Action p. 4</w:t>
            </w:r>
          </w:p>
        </w:tc>
        <w:tc>
          <w:tcPr>
            <w:tcW w:type="dxa" w:w="3024"/>
          </w:tcPr>
          <w:p>
            <w:r>
              <w:t>“This evidence shows that the goods listed therein, namely beer and wine , are of a kind that may emanate from a single source under a single mark.”</w:t>
            </w:r>
          </w:p>
        </w:tc>
        <w:tc>
          <w:tcPr>
            <w:tcW w:type="dxa" w:w="720"/>
          </w:tcPr>
          <w:p>
            <w:sdt>
              <w:sdtPr>
                <w:id w:val="100017"/>
                <w14:checkbox>
                  <w14:checked w14:val="0"/>
                  <w14:checkedState w14:val="2612" w14:font="MS Gothic"/>
                  <w14:uncheckedState w14:val="2610" w14:font="MS Gothic"/>
                </w14:checkbox>
              </w:sdtPr>
              <w:sdtContent>
                <w:r>
                  <w:rPr>
                    <w:rFonts w:ascii="MS Gothic" w:hAnsi="MS Gothic" w:eastAsia="MS Gothic" w:cs="MS Gothic"/>
                  </w:rPr>
                  <w:t>☐</w:t>
                </w:r>
              </w:sdtContent>
            </w:sdt>
          </w:p>
        </w:tc>
      </w:tr>
      <w:tr>
        <w:tc>
          <w:tcPr>
            <w:tcW w:type="dxa" w:w="3456"/>
          </w:tcPr>
          <w:p>
            <w:r>
              <w:t>Reg. No. 7505080 identifies HIVE2HAND for certain alcohol-free, de-alcoholized, and non-alcoholic goods in International Class 032 and wines in International Class 033.</w:t>
            </w:r>
          </w:p>
        </w:tc>
        <w:tc>
          <w:tcPr>
            <w:tcW w:type="dxa" w:w="1872"/>
          </w:tcPr>
          <w:p>
            <w:r>
              <w:t>Office Action p. 33</w:t>
            </w:r>
          </w:p>
        </w:tc>
        <w:tc>
          <w:tcPr>
            <w:tcW w:type="dxa" w:w="3024"/>
          </w:tcPr>
          <w:p>
            <w:r>
              <w:t>“Wine spritzers; Wine-based beverages; Wine-based drinks; Wines and sparkling wines.”</w:t>
            </w:r>
          </w:p>
        </w:tc>
        <w:tc>
          <w:tcPr>
            <w:tcW w:type="dxa" w:w="720"/>
          </w:tcPr>
          <w:p>
            <w:sdt>
              <w:sdtPr>
                <w:id w:val="100018"/>
                <w14:checkbox>
                  <w14:checked w14:val="0"/>
                  <w14:checkedState w14:val="2612" w14:font="MS Gothic"/>
                  <w14:uncheckedState w14:val="2610" w14:font="MS Gothic"/>
                </w14:checkbox>
              </w:sdtPr>
              <w:sdtContent>
                <w:r>
                  <w:rPr>
                    <w:rFonts w:ascii="MS Gothic" w:hAnsi="MS Gothic" w:eastAsia="MS Gothic" w:cs="MS Gothic"/>
                  </w:rPr>
                  <w:t>☐</w:t>
                </w:r>
              </w:sdtContent>
            </w:sdt>
          </w:p>
        </w:tc>
      </w:tr>
      <w:tr>
        <w:tc>
          <w:tcPr>
            <w:tcW w:type="dxa" w:w="3456"/>
          </w:tcPr>
          <w:p>
            <w:r>
              <w:t>Reg. No. 5116260 identifies TULASI for certain alcohol-free and de-alcoholised goods in International Class 032 and wine in International Class 033.</w:t>
            </w:r>
          </w:p>
        </w:tc>
        <w:tc>
          <w:tcPr>
            <w:tcW w:type="dxa" w:w="1872"/>
          </w:tcPr>
          <w:p>
            <w:r>
              <w:t>Office Action p. 38</w:t>
            </w:r>
          </w:p>
        </w:tc>
        <w:tc>
          <w:tcPr>
            <w:tcW w:type="dxa" w:w="3024"/>
          </w:tcPr>
          <w:p>
            <w:r>
              <w:t>“Concentrates used in the preparation of soft drinks; De-alcoholised beer; De-alcoholized wines; Drinking waters;”</w:t>
            </w:r>
          </w:p>
        </w:tc>
        <w:tc>
          <w:tcPr>
            <w:tcW w:type="dxa" w:w="720"/>
          </w:tcPr>
          <w:p>
            <w:sdt>
              <w:sdtPr>
                <w:id w:val="100019"/>
                <w14:checkbox>
                  <w14:checked w14:val="0"/>
                  <w14:checkedState w14:val="2612" w14:font="MS Gothic"/>
                  <w14:uncheckedState w14:val="2610" w14:font="MS Gothic"/>
                </w14:checkbox>
              </w:sdtPr>
              <w:sdtContent>
                <w:r>
                  <w:rPr>
                    <w:rFonts w:ascii="MS Gothic" w:hAnsi="MS Gothic" w:eastAsia="MS Gothic" w:cs="MS Gothic"/>
                  </w:rPr>
                  <w:t>☐</w:t>
                </w:r>
              </w:sdtContent>
            </w:sdt>
          </w:p>
        </w:tc>
      </w:tr>
    </w:tbl>
    <w:p>
      <w:pPr>
        <w:pStyle w:val="Heading2"/>
      </w:pPr>
      <w:r>
        <w:t>Filing decisions</w:t>
      </w:r>
    </w:p>
    <w:p>
      <w:r>
        <w:t>Every election, amendment, disclaimer or submission the response makes. Approve it, or strike it and revise the response.</w:t>
      </w:r>
    </w:p>
    <w:tbl>
      <w:tblPr>
        <w:tblStyle w:val="TableGrid"/>
        <w:tblW w:type="auto" w:w="0"/>
        <w:tblLook w:firstColumn="1" w:firstRow="1" w:lastColumn="0" w:lastRow="0" w:noHBand="0" w:noVBand="1" w:val="04A0"/>
      </w:tblPr>
      <w:tblGrid>
        <w:gridCol w:w="2160"/>
        <w:gridCol w:w="2160"/>
        <w:gridCol w:w="2160"/>
        <w:gridCol w:w="2160"/>
      </w:tblGrid>
      <w:tr>
        <w:tc>
          <w:tcPr>
            <w:tcW w:type="dxa" w:w="4320"/>
            <w:shd w:val="clear" w:fill="EDEDED"/>
          </w:tcPr>
          <w:p>
            <w:r>
              <w:rPr>
                <w:b/>
              </w:rPr>
              <w:t>Decision</w:t>
            </w:r>
          </w:p>
        </w:tc>
        <w:tc>
          <w:tcPr>
            <w:tcW w:type="dxa" w:w="3312"/>
            <w:shd w:val="clear" w:fill="EDEDED"/>
          </w:tcPr>
          <w:p>
            <w:r>
              <w:rPr>
                <w:b/>
              </w:rPr>
              <w:t>How it renders</w:t>
            </w:r>
          </w:p>
        </w:tc>
        <w:tc>
          <w:tcPr>
            <w:tcW w:type="dxa" w:w="720"/>
            <w:shd w:val="clear" w:fill="EDEDED"/>
          </w:tcPr>
          <w:p>
            <w:r>
              <w:rPr>
                <w:b/>
              </w:rPr>
              <w:t>Approve</w:t>
            </w:r>
          </w:p>
        </w:tc>
        <w:tc>
          <w:tcPr>
            <w:tcW w:type="dxa" w:w="720"/>
            <w:shd w:val="clear" w:fill="EDEDED"/>
          </w:tcPr>
          <w:p>
            <w:r>
              <w:rPr>
                <w:b/>
              </w:rPr>
              <w:t>Strike</w:t>
            </w:r>
          </w:p>
        </w:tc>
      </w:tr>
      <w:tr>
        <w:tc>
          <w:tcPr>
            <w:tcW w:type="dxa" w:w="4320"/>
          </w:tcPr>
          <w:p>
            <w:r>
              <w:t>In the alternative, and without conceding the refusal, Applicant amends the identification in International Class 032 to read: Alcohol-free beer; Alcohol-free beers; De-alcoholised beer; De-alcoholized beers; Non-alcoholic beer; Non-alcoholic beer-based cocktails; Non-alcoholic beer-flavoured drinks; Non-alcoholic beverages, namely, carbonated beverages.</w:t>
            </w:r>
          </w:p>
        </w:tc>
        <w:tc>
          <w:tcPr>
            <w:tcW w:type="dxa" w:w="3312"/>
          </w:tcPr>
          <w:p>
            <w:r>
              <w:t>amendment; stated as done in the response; Response to Section 2(d) Refusal — Likelihood of Confusion</w:t>
            </w:r>
          </w:p>
        </w:tc>
        <w:tc>
          <w:tcPr>
            <w:tcW w:type="dxa" w:w="720"/>
          </w:tcPr>
          <w:p>
            <w:sdt>
              <w:sdtPr>
                <w:id w:val="100020"/>
                <w14:checkbox>
                  <w14:checked w14:val="0"/>
                  <w14:checkedState w14:val="2612" w14:font="MS Gothic"/>
                  <w14:uncheckedState w14:val="2610" w14:font="MS Gothic"/>
                </w14:checkbox>
              </w:sdtPr>
              <w:sdtContent>
                <w:r>
                  <w:rPr>
                    <w:rFonts w:ascii="MS Gothic" w:hAnsi="MS Gothic" w:eastAsia="MS Gothic" w:cs="MS Gothic"/>
                  </w:rPr>
                  <w:t>☐</w:t>
                </w:r>
              </w:sdtContent>
            </w:sdt>
          </w:p>
        </w:tc>
        <w:tc>
          <w:tcPr>
            <w:tcW w:type="dxa" w:w="720"/>
          </w:tcPr>
          <w:p>
            <w:sdt>
              <w:sdtPr>
                <w:id w:val="100021"/>
                <w14:checkbox>
                  <w14:checked w14:val="0"/>
                  <w14:checkedState w14:val="2612" w14:font="MS Gothic"/>
                  <w14:uncheckedState w14:val="2610" w14:font="MS Gothic"/>
                </w14:checkbox>
              </w:sdtPr>
              <w:sdtContent>
                <w:r>
                  <w:rPr>
                    <w:rFonts w:ascii="MS Gothic" w:hAnsi="MS Gothic" w:eastAsia="MS Gothic" w:cs="MS Gothic"/>
                  </w:rPr>
                  <w:t>☐</w:t>
                </w:r>
              </w:sdtContent>
            </w:sdt>
          </w:p>
        </w:tc>
      </w:tr>
    </w:tbl>
    <w:p>
      <w:pPr>
        <w:pStyle w:val="Heading2"/>
      </w:pPr>
      <w:r>
        <w:t>Before filing</w:t>
      </w:r>
    </w:p>
    <w:p>
      <w:pPr>
        <w:pStyle w:val="ListBullet"/>
      </w:pPr>
      <w:r>
        <w:t>Response deadline: three months from the issue date (2025-01-24), i.e. 2025-04-24, extendable once by three months for a fee — verify against the action.</w:t>
      </w:r>
    </w:p>
    <w:p>
      <w:pPr>
        <w:pStyle w:val="ListBullet"/>
      </w:pPr>
      <w:r>
        <w:t>Register search run against the current register (a current-state lookup) for live registrations containing "molto" in Class(es) 032, 033, limited to what was on the register as of 2025-01-24: 5 hit(s), 0 usable — 1 pending application, not a registration; 3 filed after the as-of date; 1 the cited registration. The register shows no live third-party registration of a MOLTO-formative mark in related goods, so no third-party-registration exhibit is offered.</w:t>
      </w:r>
    </w:p>
    <w:p>
      <w:pPr>
        <w:pStyle w:val="ListBullet"/>
      </w:pPr>
      <w:r>
        <w:t>Client authorization: the amendment narrows or deletes goods/services of record, and deleted goods cannot be reinserted (37 C.F.R. §2.71(a); TMEP §1402.07(e)) — confirm the retained list with the client before filing.</w:t>
      </w:r>
    </w:p>
    <w:p>
      <w:pPr>
        <w:pStyle w:val="ListBullet"/>
      </w:pPr>
      <w:r>
        <w:t>Examiner's exhibits reaching the retained goods: "Alcohol-free beer" appears with the registrant's goods in Reg. No(s). 7505080, 5116260; "Alcohol-free beers" appears with the registrant's goods in Reg. No(s). 7505080, 5116260; "De-alcoholised beer" appears with the registrant's goods in Reg. No(s). 7505080, 5116260; "De-alcoholized beers" appears with the registrant's goods in Reg. No(s). 7505080; "Non-alcoholic beer" appears with the registrant's goods in Reg. No(s). 7505080, 5116260; "Non-alcoholic beverages, namely, carbonated beverages" appears with the registrant's goods in Reg. No(s). 7505080 — the response names them; check that the reason given holds.</w:t>
      </w:r>
    </w:p>
    <w:p>
      <w:pPr>
        <w:pStyle w:val="ListBullet"/>
      </w:pPr>
      <w:r>
        <w:t>Signature block: complete the attorney name, firm, and date; sign as attorney of record.</w:t>
      </w:r>
    </w:p>
    <w:p>
      <w:r>
        <w:br w:type="page"/>
      </w:r>
    </w:p>
    <w:p>
      <w:pPr>
        <w:jc w:val="center"/>
      </w:pPr>
      <w:r>
        <w:rPr>
          <w:b/>
        </w:rPr>
        <w:t>IN THE UNITED STATES PATENT AND TRADEMARK OFFICE</w:t>
      </w:r>
    </w:p>
    <w:p>
      <w:r>
        <w:t>Mark: MOLTO</w:t>
        <w:br/>
        <w:t>Serial No.: 98637751</w:t>
        <w:br/>
        <w:t>Office Action of: 2025-01-24</w:t>
        <w:br/>
      </w:r>
    </w:p>
    <w:p>
      <w:pPr>
        <w:jc w:val="center"/>
      </w:pPr>
      <w:r>
        <w:rPr>
          <w:b/>
        </w:rPr>
        <w:t>RESPONSE TO OFFICE ACTION</w:t>
      </w:r>
    </w:p>
    <w:p>
      <w:r>
        <w:t>Applicant responds to the Office Action identified above as follows.</w:t>
      </w:r>
    </w:p>
    <w:p>
      <w:pPr>
        <w:pStyle w:val="Heading1"/>
      </w:pPr>
      <w:r>
        <w:t>Response to Section 2(d) Refusal — Likelihood of Confusion</w:t>
      </w:r>
    </w:p>
    <w:p>
      <w:r>
        <w:rPr>
          <w:b w:val="0"/>
        </w:rPr>
        <w:t>The January 24, 2025 Office Action refuses registration of MOLTO in Class 032 under Trademark Act Section 2(d), 15 U.S.C. §1052(d), based on MOLTO BENE (Reg. No. 6070597) for “Wines” in Class 033. Applicant respectfully submits that confusion is unlikely because the marks, compared in their entireties, differ materially in appearance, sound, connotation, and commercial impression.</w:t>
      </w:r>
    </w:p>
    <w:p>
      <w:r>
        <w:rPr>
          <w:b/>
        </w:rPr>
        <w:t>The marks create different connotations and commercial impressions</w:t>
      </w:r>
    </w:p>
    <w:p>
      <w:r>
        <w:rPr>
          <w:b w:val="0"/>
        </w:rPr>
        <w:t>Marks must be compared in their entireties for similarities in appearance, sound, connotation, and commercial impression. In re Charger Ventures LLC, 64 F.4th 1375, 1380, 2023 USPQ2d 451, at *3 (Fed. Cir. 2023); TMEP §1207.01(b). The fundamental Section 2(d) inquiry concerns the cumulative effect of differences in the essential characteristics of the goods and differences in the marks. Federated Foods, Inc. v. Fort Howard Paper Co., 544 F.2d 1098, 1103, 192 USPQ 24, 29 (C.C.P.A. 1976). Not all du Pont factors are relevant or entitled to similar weight in every case. In re Guild Mortg. Co., 912 F.3d 1376, 1379, 129 USPQ2d 1160, 1162 (Fed. Cir. 2019).</w:t>
      </w:r>
    </w:p>
    <w:p>
      <w:r>
        <w:rPr>
          <w:b w:val="0"/>
        </w:rPr>
        <w:t>The application states that the English translation of MOLTO is “very.” The cited registration states that the English translation of MOLTO BENE is “VERY WELL.” These different meanings are not a difference in length alone: the second word changes the connotation of the cited mark and also makes it longer in appearance and sound. The required whole-mark comparison therefore gives BENE substantive weight rather than treating it as an appendage that leaves the same expression intact.</w:t>
      </w:r>
    </w:p>
    <w:p>
      <w:r>
        <w:rPr>
          <w:b w:val="0"/>
        </w:rPr>
        <w:t>The Office Action states that the MOLTO translation is unnecessary because the term appears in an English dictionary. That publication treatment does not remove connotation from the comparison required by Charger Ventures.</w:t>
      </w:r>
    </w:p>
    <w:p>
      <w:r>
        <w:rPr>
          <w:b w:val="0"/>
        </w:rPr>
        <w:t>Palm Bay found the shared first word VEUVE prominent and relied on that prominence in finding similarity between the marks before it. Palm Bay Imps., Inc. v. Veuve Clicquot Ponsardin Maison Fondee En 1772, 396 F.3d 1369, 1372, 73 USPQ2d 1689, 1692 (Fed. Cir. 2005). The Office Action reasons that consumers will focus on MOLTO because it is the first word of the cited mark and is identical to the applied-for mark. That observation does not make the second word immaterial here, because the second word supplies the portion of the cited expression that gives it a meaning not present in the applied-for mark. Giving controlling effect to first position would discount the element responsible for the marks’ different connotations and would conflict with the required comparison of the marks as a whole.</w:t>
      </w:r>
    </w:p>
    <w:p>
      <w:r>
        <w:rPr>
          <w:b w:val="0"/>
        </w:rPr>
        <w:t>The Office Action characterizes MOLTO as a likely shortened form of MOLTO BENE. The Office Action cites In re Mighty Leaf Tea and In re Optica International for the proposition that merely omitting wording from a registered mark may not overcome likelihood of confusion. In re Mighty Leaf Tea, 601 F.3d 1342, 1348, 94 USPQ2d 1257, 1260 (Fed. Cir. 2010); In re Optica Int’l, 196 USPQ 775, 778 (TTAB 1977). That qualified proposition does not establish that every shortened mark preserves the commercial impression of the longer mark. In this comparison, the omission is material because it removes the wording that supplies the cited mark’s distinct full connotation; the shortened-form rationale therefore does not outweigh the differences between the marks as a whole.</w:t>
      </w:r>
    </w:p>
    <w:p>
      <w:r>
        <w:rPr>
          <w:b/>
        </w:rPr>
        <w:t>Relatedness of the goods does not overcome the differences between the marks</w:t>
      </w:r>
    </w:p>
    <w:p>
      <w:r>
        <w:rPr>
          <w:b w:val="0"/>
        </w:rPr>
        <w:t>Applicant does not contest that beer and wine may be related goods. The Office Action relies on third-party registrations covering beer and wine to show that those goods may emanate from a single source under a single mark. Third-party registrations may be probative for that purpose. In re I-Coat Co., 126 USPQ2d 1730, 1737 (TTAB 2018). That evidence addresses relatedness; it does not determine whether MOLTO and MOLTO BENE create the same appearance, sound, connotation, or commercial impression. Accordingly, the relatedness evidence does not eliminate the need to give full weight to the differences between the marks.</w:t>
      </w:r>
    </w:p>
    <w:p>
      <w:r>
        <w:rPr>
          <w:b/>
        </w:rPr>
        <w:t>In the alternative, amendment of the identification</w:t>
      </w:r>
    </w:p>
    <w:p>
      <w:r>
        <w:rPr>
          <w:b w:val="0"/>
        </w:rPr>
        <w:t>Applicant submits that the examiner’s relatedness finding principally rests on registrations combining beer and wine; limiting Class 032 to entries expressly described as alcohol-free, de-alcoholised, de-alcoholized, or non-alcoholic removes every unqualified or reduced-alcohol beer entry and materially distances the retained goods from registrant’s wines. Reg. No. 7505080 (HIVE2HAND) includes certain alcohol-free, de-alcoholized, and non-alcoholic Class 032 goods and wines in Class 033; Reg. No. 5116260 (TULASI) includes certain alcohol-free and de-alcoholised Class 032 goods and wine in Class 033; under In re I-Coat, each shows only that its listed goods may emanate from a single source under a single mark, not that relatedness is categorical under every mark or that the distinct connotations of MOLTO and MOLTO BENE may be disregarded. In the alternative, and without conceding the refusal, Applicant amends the identification in International Class 032 to read: Alcohol-free beer; Alcohol-free beers; De-alcoholised beer; De-alcoholized beers; Non-alcoholic beer; Non-alcoholic beer-based cocktails; Non-alcoholic beer-flavoured drinks; Non-alcoholic beverages, namely, carbonated beverages.</w:t>
      </w:r>
    </w:p>
    <w:p>
      <w:pPr>
        <w:pStyle w:val="Heading1"/>
      </w:pPr>
      <w:r>
        <w:t>Conclusion</w:t>
      </w:r>
    </w:p>
    <w:p>
      <w:r>
        <w:t>For the foregoing reasons, applicant respectfully requests that the Section 2(d) refusal be withdrawn and the application be approved for publication or, in the alternative, that the amendment to the identification offered above be entered and the application be approved for publication.</w:t>
      </w:r>
    </w:p>
    <w:p>
      <w:r>
        <w:br/>
        <w:t>Respectfully submitted,</w:t>
        <w:br/>
        <w:br/>
        <w:t>[ATTORNEY NAME]</w:t>
        <w:br/>
        <w:t>[FIRM]</w:t>
        <w:br/>
        <w:t>[DATE]</w:t>
        <w:br/>
        <w:t>Attorney for Applicant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mep.uspto.gov/RDMS/TMEP/current#/current/TMEP-1200d1e5395.html" TargetMode="External"/><Relationship Id="rId10" Type="http://schemas.openxmlformats.org/officeDocument/2006/relationships/hyperlink" Target="https://uscode.house.gov/view.xhtml?req=granuleid:USC-prelim-title15-section1052&amp;num=0&amp;edition=prelim#substructure-location_d" TargetMode="External"/><Relationship Id="rId11" Type="http://schemas.openxmlformats.org/officeDocument/2006/relationships/hyperlink" Target="https://www.courtlistener.com/opinion/8912251/federated-foods-inc-v-fort-howard-paper-co/" TargetMode="External"/><Relationship Id="rId12" Type="http://schemas.openxmlformats.org/officeDocument/2006/relationships/hyperlink" Target="https://www.courtlistener.com/opinion/212076/palm-bay-imports-inc-v-veuve-clicquot-ponsardin-maison-fondee-en-1772/" TargetMode="External"/><Relationship Id="rId13" Type="http://schemas.openxmlformats.org/officeDocument/2006/relationships/hyperlink" Target="https://www.courtlistener.com/opinion/1672/in-re-mighty-leaf-te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